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43E3" w:rsidRPr="00D041B7" w:rsidRDefault="009A62B4" w:rsidP="00D041B7">
      <w:pPr>
        <w:pStyle w:val="Normal1"/>
        <w:spacing w:after="0" w:line="240" w:lineRule="auto"/>
        <w:jc w:val="center"/>
        <w:rPr>
          <w:rFonts w:ascii="Book Antiqua" w:hAnsi="Book Antiqua"/>
        </w:rPr>
      </w:pPr>
      <w:r w:rsidRPr="00D041B7">
        <w:rPr>
          <w:rFonts w:ascii="Book Antiqua" w:hAnsi="Book Antiqua"/>
          <w:b/>
          <w:color w:val="0070C0"/>
          <w:sz w:val="24"/>
          <w:u w:val="single"/>
        </w:rPr>
        <w:t>SEATRiP (SEAS and SEAS-related) Courses: Academic Year</w:t>
      </w:r>
      <w:r w:rsidRPr="00D041B7">
        <w:rPr>
          <w:rFonts w:ascii="Book Antiqua" w:hAnsi="Book Antiqua"/>
          <w:b/>
          <w:i/>
          <w:color w:val="0070C0"/>
          <w:sz w:val="24"/>
          <w:u w:val="single"/>
        </w:rPr>
        <w:t xml:space="preserve"> 20</w:t>
      </w:r>
      <w:r w:rsidR="00D041B7" w:rsidRPr="00D041B7">
        <w:rPr>
          <w:rFonts w:ascii="Book Antiqua" w:hAnsi="Book Antiqua"/>
          <w:b/>
          <w:i/>
          <w:color w:val="0070C0"/>
          <w:sz w:val="24"/>
          <w:u w:val="single"/>
        </w:rPr>
        <w:t>16-2017</w:t>
      </w:r>
    </w:p>
    <w:p w:rsidR="005443E3" w:rsidRDefault="005443E3">
      <w:pPr>
        <w:pStyle w:val="Normal1"/>
        <w:spacing w:after="0" w:line="240" w:lineRule="auto"/>
      </w:pPr>
    </w:p>
    <w:p w:rsidR="005443E3" w:rsidRDefault="00D041B7">
      <w:pPr>
        <w:pStyle w:val="Normal1"/>
        <w:spacing w:after="0" w:line="240" w:lineRule="auto"/>
      </w:pPr>
      <w:r>
        <w:rPr>
          <w:b/>
          <w:color w:val="00B050"/>
          <w:sz w:val="24"/>
        </w:rPr>
        <w:t>F</w:t>
      </w:r>
      <w:r w:rsidR="009A62B4">
        <w:rPr>
          <w:b/>
          <w:color w:val="00B050"/>
          <w:sz w:val="24"/>
        </w:rPr>
        <w:t>all 201</w:t>
      </w:r>
      <w:r>
        <w:rPr>
          <w:b/>
          <w:color w:val="00B050"/>
          <w:sz w:val="24"/>
        </w:rPr>
        <w:t>6</w:t>
      </w:r>
      <w:r w:rsidR="009A62B4">
        <w:rPr>
          <w:b/>
          <w:color w:val="00B050"/>
          <w:sz w:val="24"/>
        </w:rPr>
        <w:t>:</w:t>
      </w:r>
    </w:p>
    <w:p w:rsidR="005443E3" w:rsidRDefault="009A62B4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5229225</wp:posOffset>
            </wp:positionH>
            <wp:positionV relativeFrom="paragraph">
              <wp:posOffset>90488</wp:posOffset>
            </wp:positionV>
            <wp:extent cx="1412240" cy="695896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6958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43E3" w:rsidRDefault="009A62B4">
      <w:pPr>
        <w:pStyle w:val="Normal1"/>
        <w:spacing w:after="0" w:line="240" w:lineRule="auto"/>
      </w:pPr>
      <w:r>
        <w:rPr>
          <w:i/>
          <w:color w:val="E36C0A"/>
          <w:sz w:val="24"/>
        </w:rPr>
        <w:t>Graduate Seminars</w:t>
      </w:r>
      <w:r>
        <w:rPr>
          <w:color w:val="E36C0A"/>
          <w:sz w:val="24"/>
        </w:rPr>
        <w:t xml:space="preserve">:  </w:t>
      </w:r>
    </w:p>
    <w:p w:rsidR="005443E3" w:rsidRDefault="005443E3">
      <w:pPr>
        <w:pStyle w:val="Normal1"/>
        <w:spacing w:after="0" w:line="240" w:lineRule="auto"/>
      </w:pPr>
    </w:p>
    <w:p w:rsidR="005443E3" w:rsidRPr="00D041B7" w:rsidRDefault="00D041B7">
      <w:pPr>
        <w:pStyle w:val="Normal1"/>
        <w:spacing w:after="0" w:line="240" w:lineRule="auto"/>
        <w:rPr>
          <w:rFonts w:ascii="Book Antiqua" w:hAnsi="Book Antiqua"/>
          <w:i/>
        </w:rPr>
      </w:pPr>
      <w:r w:rsidRPr="00D041B7">
        <w:rPr>
          <w:rFonts w:ascii="Book Antiqua" w:hAnsi="Book Antiqua"/>
          <w:i/>
          <w:sz w:val="24"/>
        </w:rPr>
        <w:t>RLST 200 A: Religion, Politics, and Public Discourse</w:t>
      </w:r>
    </w:p>
    <w:p w:rsidR="005443E3" w:rsidRDefault="005443E3">
      <w:pPr>
        <w:pStyle w:val="Normal1"/>
        <w:spacing w:after="0" w:line="240" w:lineRule="auto"/>
      </w:pPr>
    </w:p>
    <w:p w:rsidR="005443E3" w:rsidRDefault="005443E3">
      <w:pPr>
        <w:pStyle w:val="Normal1"/>
        <w:spacing w:after="0" w:line="240" w:lineRule="auto"/>
      </w:pPr>
    </w:p>
    <w:p w:rsidR="005443E3" w:rsidRDefault="00D041B7">
      <w:pPr>
        <w:pStyle w:val="Normal1"/>
        <w:spacing w:after="0" w:line="240" w:lineRule="auto"/>
        <w:rPr>
          <w:i/>
          <w:color w:val="E36C0A"/>
          <w:sz w:val="24"/>
        </w:rPr>
      </w:pPr>
      <w:r>
        <w:rPr>
          <w:i/>
          <w:color w:val="E36C0A"/>
          <w:sz w:val="24"/>
        </w:rPr>
        <w:t>Upper-division Undergraduate Courses (can be taken with concurrent SEAS 292 enrollment to fulfill graduate course requirement):</w:t>
      </w:r>
    </w:p>
    <w:p w:rsidR="00D041B7" w:rsidRDefault="00D041B7">
      <w:pPr>
        <w:pStyle w:val="Normal1"/>
        <w:spacing w:after="0" w:line="240" w:lineRule="auto"/>
        <w:rPr>
          <w:i/>
          <w:color w:val="E36C0A"/>
          <w:sz w:val="24"/>
        </w:rPr>
      </w:pPr>
    </w:p>
    <w:p w:rsidR="00D041B7" w:rsidRDefault="00D041B7">
      <w:pPr>
        <w:pStyle w:val="Normal1"/>
        <w:spacing w:after="0" w:line="240" w:lineRule="auto"/>
        <w:rPr>
          <w:rFonts w:ascii="Book Antiqua" w:hAnsi="Book Antiqua"/>
          <w:i/>
          <w:color w:val="auto"/>
          <w:sz w:val="24"/>
        </w:rPr>
      </w:pPr>
    </w:p>
    <w:p w:rsidR="00D041B7" w:rsidRPr="00D041B7" w:rsidRDefault="00D041B7">
      <w:pPr>
        <w:pStyle w:val="Normal1"/>
        <w:spacing w:after="0" w:line="240" w:lineRule="auto"/>
        <w:rPr>
          <w:rFonts w:ascii="Book Antiqua" w:hAnsi="Book Antiqua"/>
          <w:i/>
          <w:color w:val="auto"/>
          <w:sz w:val="24"/>
        </w:rPr>
      </w:pPr>
      <w:r w:rsidRPr="00D041B7">
        <w:rPr>
          <w:rFonts w:ascii="Book Antiqua" w:hAnsi="Book Antiqua"/>
          <w:i/>
          <w:color w:val="auto"/>
          <w:sz w:val="24"/>
        </w:rPr>
        <w:t xml:space="preserve">SEAS 172: Gender in Southeast Asian Diasporic </w:t>
      </w:r>
    </w:p>
    <w:p w:rsidR="00D041B7" w:rsidRPr="00D041B7" w:rsidRDefault="00D041B7">
      <w:pPr>
        <w:pStyle w:val="Normal1"/>
        <w:spacing w:after="0" w:line="240" w:lineRule="auto"/>
        <w:rPr>
          <w:rFonts w:ascii="Book Antiqua" w:hAnsi="Book Antiqua"/>
          <w:i/>
          <w:color w:val="auto"/>
          <w:sz w:val="24"/>
        </w:rPr>
      </w:pPr>
    </w:p>
    <w:p w:rsidR="00D041B7" w:rsidRPr="00D041B7" w:rsidRDefault="00D041B7">
      <w:pPr>
        <w:pStyle w:val="Normal1"/>
        <w:spacing w:after="0" w:line="240" w:lineRule="auto"/>
        <w:rPr>
          <w:rFonts w:ascii="Book Antiqua" w:hAnsi="Book Antiqua"/>
          <w:i/>
          <w:color w:val="auto"/>
          <w:sz w:val="24"/>
        </w:rPr>
      </w:pPr>
      <w:r w:rsidRPr="00D041B7">
        <w:rPr>
          <w:rFonts w:ascii="Book Antiqua" w:hAnsi="Book Antiqua"/>
          <w:i/>
          <w:color w:val="auto"/>
          <w:sz w:val="24"/>
        </w:rPr>
        <w:t>SEAS 175:  Asian American Women: Writing the Self in Literature and Film</w:t>
      </w:r>
    </w:p>
    <w:p w:rsidR="00D041B7" w:rsidRPr="00D041B7" w:rsidRDefault="00D041B7">
      <w:pPr>
        <w:pStyle w:val="Normal1"/>
        <w:spacing w:after="0" w:line="240" w:lineRule="auto"/>
        <w:rPr>
          <w:rFonts w:ascii="Book Antiqua" w:hAnsi="Book Antiqua"/>
          <w:i/>
          <w:color w:val="auto"/>
          <w:sz w:val="24"/>
        </w:rPr>
      </w:pPr>
    </w:p>
    <w:p w:rsidR="00D041B7" w:rsidRPr="00D041B7" w:rsidRDefault="00D041B7">
      <w:pPr>
        <w:pStyle w:val="Normal1"/>
        <w:spacing w:after="0" w:line="240" w:lineRule="auto"/>
        <w:rPr>
          <w:rFonts w:ascii="Book Antiqua" w:hAnsi="Book Antiqua"/>
          <w:i/>
          <w:color w:val="auto"/>
        </w:rPr>
      </w:pPr>
      <w:r w:rsidRPr="00D041B7">
        <w:rPr>
          <w:rFonts w:ascii="Book Antiqua" w:hAnsi="Book Antiqua"/>
          <w:i/>
          <w:color w:val="auto"/>
          <w:sz w:val="24"/>
        </w:rPr>
        <w:t>SEAS 186: Modern Southeast Asia, 1800 to Present</w:t>
      </w:r>
    </w:p>
    <w:p w:rsidR="005443E3" w:rsidRDefault="005443E3">
      <w:pPr>
        <w:pStyle w:val="Normal1"/>
        <w:spacing w:after="0" w:line="240" w:lineRule="auto"/>
      </w:pPr>
    </w:p>
    <w:p w:rsidR="005443E3" w:rsidRDefault="005443E3">
      <w:pPr>
        <w:pStyle w:val="Normal1"/>
        <w:spacing w:after="0" w:line="240" w:lineRule="auto"/>
      </w:pPr>
    </w:p>
    <w:p w:rsidR="005443E3" w:rsidRDefault="00D041B7">
      <w:pPr>
        <w:pStyle w:val="Normal1"/>
        <w:spacing w:after="0" w:line="240" w:lineRule="auto"/>
      </w:pPr>
      <w:r>
        <w:rPr>
          <w:b/>
          <w:color w:val="00B050"/>
          <w:sz w:val="24"/>
        </w:rPr>
        <w:t>Winter 2017</w:t>
      </w:r>
    </w:p>
    <w:p w:rsidR="005443E3" w:rsidRDefault="005443E3">
      <w:pPr>
        <w:pStyle w:val="Normal1"/>
        <w:spacing w:after="0" w:line="240" w:lineRule="auto"/>
      </w:pPr>
    </w:p>
    <w:p w:rsidR="005443E3" w:rsidRDefault="009A62B4">
      <w:pPr>
        <w:pStyle w:val="Normal1"/>
        <w:spacing w:after="0" w:line="240" w:lineRule="auto"/>
      </w:pPr>
      <w:r>
        <w:rPr>
          <w:i/>
          <w:color w:val="E36C0A"/>
          <w:sz w:val="24"/>
        </w:rPr>
        <w:t>Graduate Seminars:</w:t>
      </w:r>
    </w:p>
    <w:p w:rsidR="005443E3" w:rsidRDefault="005443E3">
      <w:pPr>
        <w:pStyle w:val="Normal1"/>
        <w:spacing w:after="0" w:line="240" w:lineRule="auto"/>
      </w:pPr>
    </w:p>
    <w:p w:rsidR="005443E3" w:rsidRDefault="009A62B4" w:rsidP="00D041B7">
      <w:pPr>
        <w:pStyle w:val="Normal1"/>
        <w:spacing w:after="0" w:line="240" w:lineRule="auto"/>
      </w:pPr>
      <w:r>
        <w:rPr>
          <w:i/>
          <w:color w:val="E36C0A"/>
          <w:sz w:val="24"/>
        </w:rPr>
        <w:t xml:space="preserve">Upper-division Undergraduate Courses (can be </w:t>
      </w:r>
      <w:r w:rsidR="00D041B7">
        <w:rPr>
          <w:i/>
          <w:color w:val="E36C0A"/>
          <w:sz w:val="24"/>
        </w:rPr>
        <w:t>taken with</w:t>
      </w:r>
      <w:r>
        <w:rPr>
          <w:i/>
          <w:color w:val="E36C0A"/>
          <w:sz w:val="24"/>
        </w:rPr>
        <w:t xml:space="preserve"> concurrent SEAS 292 enrollment</w:t>
      </w:r>
      <w:r w:rsidR="00D041B7">
        <w:rPr>
          <w:i/>
          <w:color w:val="E36C0A"/>
          <w:sz w:val="24"/>
        </w:rPr>
        <w:t xml:space="preserve"> to fulfill graduate course requirement</w:t>
      </w:r>
      <w:r>
        <w:rPr>
          <w:i/>
          <w:color w:val="E36C0A"/>
          <w:sz w:val="24"/>
        </w:rPr>
        <w:t>):</w:t>
      </w:r>
    </w:p>
    <w:p w:rsidR="005443E3" w:rsidRDefault="005443E3">
      <w:pPr>
        <w:pStyle w:val="Normal1"/>
        <w:spacing w:after="0" w:line="240" w:lineRule="auto"/>
      </w:pPr>
    </w:p>
    <w:p w:rsidR="005443E3" w:rsidRPr="00D041B7" w:rsidRDefault="00D041B7" w:rsidP="00D041B7">
      <w:pPr>
        <w:pStyle w:val="Normal1"/>
        <w:spacing w:after="0" w:line="240" w:lineRule="auto"/>
        <w:rPr>
          <w:rFonts w:ascii="Book Antiqua" w:hAnsi="Book Antiqua"/>
          <w:i/>
        </w:rPr>
      </w:pPr>
      <w:r w:rsidRPr="00D041B7">
        <w:rPr>
          <w:rFonts w:ascii="Book Antiqua" w:hAnsi="Book Antiqua"/>
          <w:i/>
          <w:sz w:val="24"/>
        </w:rPr>
        <w:t>MUS 168</w:t>
      </w:r>
      <w:r>
        <w:rPr>
          <w:rFonts w:ascii="Book Antiqua" w:hAnsi="Book Antiqua"/>
          <w:i/>
          <w:sz w:val="24"/>
        </w:rPr>
        <w:t xml:space="preserve"> </w:t>
      </w:r>
      <w:r w:rsidRPr="00D041B7">
        <w:rPr>
          <w:rFonts w:ascii="Book Antiqua" w:hAnsi="Book Antiqua"/>
          <w:i/>
          <w:sz w:val="24"/>
        </w:rPr>
        <w:t xml:space="preserve">Javanese Gamelan Ensemble: Beginning </w:t>
      </w:r>
    </w:p>
    <w:p w:rsidR="005443E3" w:rsidRDefault="005443E3">
      <w:pPr>
        <w:pStyle w:val="Normal1"/>
        <w:spacing w:after="0" w:line="240" w:lineRule="auto"/>
        <w:ind w:firstLine="720"/>
      </w:pPr>
    </w:p>
    <w:p w:rsidR="005443E3" w:rsidRDefault="005443E3">
      <w:pPr>
        <w:pStyle w:val="Normal1"/>
        <w:spacing w:after="0" w:line="240" w:lineRule="auto"/>
      </w:pPr>
    </w:p>
    <w:p w:rsidR="005443E3" w:rsidRDefault="001C10B7">
      <w:pPr>
        <w:pStyle w:val="Normal1"/>
        <w:spacing w:after="0" w:line="240" w:lineRule="auto"/>
      </w:pPr>
      <w:r>
        <w:rPr>
          <w:b/>
          <w:color w:val="00B050"/>
          <w:sz w:val="24"/>
        </w:rPr>
        <w:t>Spring 2017</w:t>
      </w:r>
      <w:bookmarkStart w:id="0" w:name="_GoBack"/>
      <w:bookmarkEnd w:id="0"/>
      <w:r w:rsidR="009A62B4">
        <w:rPr>
          <w:b/>
          <w:color w:val="00B050"/>
          <w:sz w:val="24"/>
        </w:rPr>
        <w:t>:</w:t>
      </w:r>
    </w:p>
    <w:p w:rsidR="005443E3" w:rsidRDefault="005443E3">
      <w:pPr>
        <w:pStyle w:val="Normal1"/>
        <w:spacing w:after="0" w:line="240" w:lineRule="auto"/>
      </w:pPr>
    </w:p>
    <w:p w:rsidR="005443E3" w:rsidRDefault="00D041B7">
      <w:pPr>
        <w:pStyle w:val="Normal1"/>
        <w:spacing w:after="0" w:line="240" w:lineRule="auto"/>
        <w:rPr>
          <w:i/>
          <w:color w:val="E36C0A"/>
          <w:sz w:val="24"/>
        </w:rPr>
      </w:pPr>
      <w:r>
        <w:rPr>
          <w:i/>
          <w:color w:val="E36C0A"/>
          <w:sz w:val="24"/>
        </w:rPr>
        <w:t>Upper-division Undergraduate Courses (can be taken with concurrent SEAS 292 enrollment to fulfill graduate course requirement):</w:t>
      </w:r>
    </w:p>
    <w:p w:rsidR="00D041B7" w:rsidRDefault="00D041B7">
      <w:pPr>
        <w:pStyle w:val="Normal1"/>
        <w:spacing w:after="0" w:line="240" w:lineRule="auto"/>
      </w:pPr>
    </w:p>
    <w:p w:rsidR="005443E3" w:rsidRPr="00D041B7" w:rsidRDefault="00D041B7">
      <w:pPr>
        <w:pStyle w:val="Normal1"/>
        <w:spacing w:after="0" w:line="240" w:lineRule="auto"/>
        <w:rPr>
          <w:rFonts w:ascii="Book Antiqua" w:hAnsi="Book Antiqua"/>
          <w:i/>
          <w:sz w:val="24"/>
        </w:rPr>
      </w:pPr>
      <w:r w:rsidRPr="00D041B7">
        <w:rPr>
          <w:rFonts w:ascii="Book Antiqua" w:hAnsi="Book Antiqua"/>
          <w:i/>
          <w:sz w:val="24"/>
        </w:rPr>
        <w:t xml:space="preserve">MUS 127 Music Cultures of Southeast Asia (can be substituted for SEAS 201) </w:t>
      </w:r>
    </w:p>
    <w:p w:rsidR="00D041B7" w:rsidRPr="00D041B7" w:rsidRDefault="00D041B7" w:rsidP="00D041B7">
      <w:pPr>
        <w:pStyle w:val="Normal1"/>
        <w:spacing w:after="0" w:line="240" w:lineRule="auto"/>
        <w:rPr>
          <w:rFonts w:ascii="Book Antiqua" w:hAnsi="Book Antiqua"/>
          <w:i/>
        </w:rPr>
      </w:pPr>
      <w:r w:rsidRPr="00D041B7">
        <w:rPr>
          <w:rFonts w:ascii="Book Antiqua" w:hAnsi="Book Antiqua"/>
          <w:i/>
          <w:sz w:val="24"/>
        </w:rPr>
        <w:t>MUS 168</w:t>
      </w:r>
      <w:r>
        <w:rPr>
          <w:rFonts w:ascii="Book Antiqua" w:hAnsi="Book Antiqua"/>
          <w:i/>
          <w:sz w:val="24"/>
        </w:rPr>
        <w:t xml:space="preserve"> </w:t>
      </w:r>
      <w:r w:rsidRPr="00D041B7">
        <w:rPr>
          <w:rFonts w:ascii="Book Antiqua" w:hAnsi="Book Antiqua"/>
          <w:i/>
          <w:sz w:val="24"/>
        </w:rPr>
        <w:t xml:space="preserve">Javanese Gamelan Ensemble: Beginning </w:t>
      </w:r>
    </w:p>
    <w:p w:rsidR="00D041B7" w:rsidRDefault="00D041B7">
      <w:pPr>
        <w:pStyle w:val="Normal1"/>
        <w:spacing w:after="0" w:line="240" w:lineRule="auto"/>
      </w:pPr>
    </w:p>
    <w:p w:rsidR="005443E3" w:rsidRDefault="005443E3">
      <w:pPr>
        <w:pStyle w:val="Normal1"/>
        <w:spacing w:after="0" w:line="240" w:lineRule="auto"/>
      </w:pPr>
    </w:p>
    <w:sectPr w:rsidR="005443E3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43E3"/>
    <w:rsid w:val="001C10B7"/>
    <w:rsid w:val="005443E3"/>
    <w:rsid w:val="006568F0"/>
    <w:rsid w:val="009A62B4"/>
    <w:rsid w:val="00D0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59CB80"/>
  <w15:docId w15:val="{EFC21E43-EDFF-441F-9438-3243E502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Meza</dc:creator>
  <cp:lastModifiedBy>Crystal J Meza</cp:lastModifiedBy>
  <cp:revision>4</cp:revision>
  <dcterms:created xsi:type="dcterms:W3CDTF">2016-09-02T21:46:00Z</dcterms:created>
  <dcterms:modified xsi:type="dcterms:W3CDTF">2016-10-27T15:52:00Z</dcterms:modified>
</cp:coreProperties>
</file>